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9E" w:rsidRPr="002E6CC1" w:rsidRDefault="00464DA6" w:rsidP="00464DA6">
      <w:pPr>
        <w:pStyle w:val="Heading3"/>
        <w:rPr>
          <w:rFonts w:asciiTheme="minorHAnsi" w:hAnsiTheme="minorHAnsi"/>
          <w:b/>
        </w:rPr>
      </w:pPr>
      <w:r>
        <w:t>Planned Unit Developments – Real World Experiences</w:t>
      </w:r>
    </w:p>
    <w:p w:rsidR="002E6CC1" w:rsidRPr="00CB7AF1" w:rsidRDefault="00464DA6" w:rsidP="002E6CC1">
      <w:pPr>
        <w:pStyle w:val="body"/>
        <w:rPr>
          <w:b/>
        </w:rPr>
      </w:pPr>
      <w:r w:rsidRPr="00CB7AF1">
        <w:rPr>
          <w:b/>
        </w:rPr>
        <w:t>Comparison of Case Studies</w:t>
      </w:r>
    </w:p>
    <w:tbl>
      <w:tblPr>
        <w:tblStyle w:val="TableGrid"/>
        <w:tblW w:w="0" w:type="auto"/>
        <w:tblLook w:val="04A0"/>
      </w:tblPr>
      <w:tblGrid>
        <w:gridCol w:w="1548"/>
        <w:gridCol w:w="1980"/>
        <w:gridCol w:w="2520"/>
        <w:gridCol w:w="1530"/>
        <w:gridCol w:w="1710"/>
        <w:gridCol w:w="2700"/>
        <w:gridCol w:w="2628"/>
      </w:tblGrid>
      <w:tr w:rsidR="00D0550A" w:rsidRPr="00251505" w:rsidTr="00CB7AF1">
        <w:trPr>
          <w:tblHeader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D0550A" w:rsidRPr="00DB2F06" w:rsidRDefault="00D0550A" w:rsidP="00D0550A">
            <w:pPr>
              <w:pStyle w:val="body"/>
              <w:spacing w:before="120" w:line="240" w:lineRule="auto"/>
              <w:rPr>
                <w:rFonts w:asciiTheme="minorHAnsi" w:hAnsiTheme="minorHAnsi"/>
              </w:rPr>
            </w:pPr>
            <w:r w:rsidRPr="00251505">
              <w:rPr>
                <w:rFonts w:asciiTheme="minorHAnsi" w:hAnsiTheme="minorHAnsi"/>
                <w:b/>
              </w:rPr>
              <w:t>City</w:t>
            </w:r>
            <w:r w:rsidR="00DB2F06">
              <w:rPr>
                <w:rFonts w:asciiTheme="minorHAnsi" w:hAnsiTheme="minorHAnsi"/>
                <w:b/>
              </w:rPr>
              <w:br/>
            </w:r>
            <w:r w:rsidR="00DB2F06">
              <w:rPr>
                <w:rFonts w:asciiTheme="minorHAnsi" w:hAnsiTheme="minorHAnsi"/>
              </w:rPr>
              <w:t>(ord. date(s))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0550A" w:rsidRPr="00251505" w:rsidRDefault="00D0550A" w:rsidP="008A6C35">
            <w:pPr>
              <w:pStyle w:val="body"/>
              <w:spacing w:before="120" w:line="240" w:lineRule="auto"/>
              <w:jc w:val="center"/>
              <w:rPr>
                <w:rFonts w:asciiTheme="minorHAnsi" w:hAnsiTheme="minorHAnsi"/>
                <w:b/>
              </w:rPr>
            </w:pPr>
            <w:r w:rsidRPr="00251505">
              <w:rPr>
                <w:rFonts w:asciiTheme="minorHAnsi" w:hAnsiTheme="minorHAnsi"/>
                <w:b/>
              </w:rPr>
              <w:t>Purpose</w:t>
            </w:r>
            <w:r>
              <w:rPr>
                <w:rFonts w:asciiTheme="minorHAnsi" w:hAnsiTheme="minorHAnsi"/>
                <w:b/>
              </w:rPr>
              <w:t xml:space="preserve"> &amp; Special Emphasis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D0550A" w:rsidRPr="00251505" w:rsidRDefault="00D0550A" w:rsidP="008A6C35">
            <w:pPr>
              <w:pStyle w:val="body"/>
              <w:spacing w:before="120" w:line="240" w:lineRule="auto"/>
              <w:jc w:val="center"/>
              <w:rPr>
                <w:rFonts w:asciiTheme="minorHAnsi" w:hAnsiTheme="minorHAnsi"/>
                <w:b/>
              </w:rPr>
            </w:pPr>
            <w:r w:rsidRPr="00251505">
              <w:rPr>
                <w:rFonts w:asciiTheme="minorHAnsi" w:hAnsiTheme="minorHAnsi"/>
                <w:b/>
              </w:rPr>
              <w:t xml:space="preserve">Density </w:t>
            </w:r>
            <w:r>
              <w:rPr>
                <w:rFonts w:asciiTheme="minorHAnsi" w:hAnsiTheme="minorHAnsi"/>
                <w:b/>
              </w:rPr>
              <w:t xml:space="preserve">and/or </w:t>
            </w:r>
            <w:r>
              <w:rPr>
                <w:rFonts w:asciiTheme="minorHAnsi" w:hAnsiTheme="minorHAnsi"/>
                <w:b/>
              </w:rPr>
              <w:br/>
              <w:t xml:space="preserve">Height </w:t>
            </w:r>
            <w:r w:rsidRPr="00251505">
              <w:rPr>
                <w:rFonts w:asciiTheme="minorHAnsi" w:hAnsiTheme="minorHAnsi"/>
                <w:b/>
              </w:rPr>
              <w:t>Bonus?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0550A" w:rsidRPr="00251505" w:rsidRDefault="00D0550A" w:rsidP="008A6C35">
            <w:pPr>
              <w:pStyle w:val="body"/>
              <w:spacing w:before="120" w:line="240" w:lineRule="auto"/>
              <w:jc w:val="center"/>
              <w:rPr>
                <w:rFonts w:asciiTheme="minorHAnsi" w:hAnsiTheme="minorHAnsi"/>
                <w:b/>
              </w:rPr>
            </w:pPr>
            <w:r w:rsidRPr="00251505">
              <w:rPr>
                <w:rFonts w:asciiTheme="minorHAnsi" w:hAnsiTheme="minorHAnsi"/>
                <w:b/>
              </w:rPr>
              <w:t>Use Flexibility?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0550A" w:rsidRPr="00251505" w:rsidRDefault="00D0550A" w:rsidP="008A6C35">
            <w:pPr>
              <w:pStyle w:val="body"/>
              <w:spacing w:before="12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Street Design Flexibility?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D0550A" w:rsidRPr="00251505" w:rsidRDefault="00D0550A" w:rsidP="008A6C35">
            <w:pPr>
              <w:pStyle w:val="body"/>
              <w:spacing w:before="12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Unique Provisions</w:t>
            </w:r>
          </w:p>
        </w:tc>
        <w:tc>
          <w:tcPr>
            <w:tcW w:w="2628" w:type="dxa"/>
            <w:shd w:val="clear" w:color="auto" w:fill="D9D9D9" w:themeFill="background1" w:themeFillShade="D9"/>
            <w:vAlign w:val="center"/>
          </w:tcPr>
          <w:p w:rsidR="00D0550A" w:rsidRDefault="00D0550A" w:rsidP="00D0550A">
            <w:pPr>
              <w:pStyle w:val="body"/>
              <w:spacing w:before="12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Results?</w:t>
            </w:r>
          </w:p>
        </w:tc>
      </w:tr>
      <w:tr w:rsidR="00D0550A" w:rsidRPr="00251505" w:rsidTr="002E6CC1">
        <w:tc>
          <w:tcPr>
            <w:tcW w:w="1548" w:type="dxa"/>
          </w:tcPr>
          <w:p w:rsidR="00D0550A" w:rsidRPr="00DB2F06" w:rsidRDefault="00D0550A" w:rsidP="00251505">
            <w:pPr>
              <w:pStyle w:val="body"/>
              <w:spacing w:before="80" w:after="20"/>
              <w:rPr>
                <w:rFonts w:asciiTheme="minorHAnsi" w:hAnsiTheme="minorHAnsi"/>
              </w:rPr>
            </w:pPr>
            <w:r w:rsidRPr="00251505">
              <w:rPr>
                <w:rFonts w:asciiTheme="minorHAnsi" w:hAnsiTheme="minorHAnsi"/>
                <w:b/>
              </w:rPr>
              <w:t>Bellevue</w:t>
            </w:r>
            <w:r w:rsidR="00DB2F06">
              <w:rPr>
                <w:rFonts w:asciiTheme="minorHAnsi" w:hAnsiTheme="minorHAnsi"/>
                <w:b/>
              </w:rPr>
              <w:br/>
            </w:r>
            <w:r w:rsidR="00DB2F06">
              <w:rPr>
                <w:rFonts w:asciiTheme="minorHAnsi" w:hAnsiTheme="minorHAnsi"/>
              </w:rPr>
              <w:t>(1986-2009)</w:t>
            </w:r>
          </w:p>
        </w:tc>
        <w:tc>
          <w:tcPr>
            <w:tcW w:w="1980" w:type="dxa"/>
          </w:tcPr>
          <w:p w:rsidR="00D0550A" w:rsidRPr="00251505" w:rsidRDefault="00D0550A" w:rsidP="00F03B68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51505">
              <w:rPr>
                <w:rFonts w:asciiTheme="minorHAnsi" w:hAnsiTheme="minorHAnsi"/>
                <w:sz w:val="20"/>
                <w:szCs w:val="20"/>
              </w:rPr>
              <w:t>Variety in type, design and arrangement of structures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r w:rsidR="00EC0B26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>Special emphasis on protection of critical areas</w:t>
            </w:r>
          </w:p>
        </w:tc>
        <w:tc>
          <w:tcPr>
            <w:tcW w:w="2520" w:type="dxa"/>
          </w:tcPr>
          <w:p w:rsidR="00D0550A" w:rsidRDefault="00D0550A" w:rsidP="00F03B68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10% maximum; 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>Some height flexibility;</w:t>
            </w:r>
          </w:p>
          <w:p w:rsidR="00D0550A" w:rsidRPr="00251505" w:rsidRDefault="00D0550A" w:rsidP="00F03B68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Large sites (5 acres+) = up to 30% density bonus for ad</w:t>
            </w:r>
            <w:r w:rsidR="00EC0B26">
              <w:rPr>
                <w:rFonts w:asciiTheme="minorHAnsi" w:hAnsiTheme="minorHAnsi"/>
                <w:sz w:val="20"/>
                <w:szCs w:val="20"/>
              </w:rPr>
              <w:t>ditional conservation design fea</w:t>
            </w:r>
            <w:r>
              <w:rPr>
                <w:rFonts w:asciiTheme="minorHAnsi" w:hAnsiTheme="minorHAnsi"/>
                <w:sz w:val="20"/>
                <w:szCs w:val="20"/>
              </w:rPr>
              <w:t>tures</w:t>
            </w:r>
          </w:p>
        </w:tc>
        <w:tc>
          <w:tcPr>
            <w:tcW w:w="1530" w:type="dxa"/>
          </w:tcPr>
          <w:p w:rsidR="00D0550A" w:rsidRPr="00251505" w:rsidRDefault="00D0550A" w:rsidP="00251505">
            <w:pPr>
              <w:pStyle w:val="body"/>
              <w:spacing w:before="80" w:after="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1505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1710" w:type="dxa"/>
          </w:tcPr>
          <w:p w:rsidR="00D0550A" w:rsidRPr="00251505" w:rsidRDefault="00D0550A" w:rsidP="00F03B68">
            <w:pPr>
              <w:pStyle w:val="body"/>
              <w:spacing w:before="80" w:after="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 – compliance with </w:t>
            </w:r>
            <w:r w:rsidR="00CB7AF1">
              <w:rPr>
                <w:rFonts w:asciiTheme="minorHAnsi" w:hAnsiTheme="minorHAnsi"/>
                <w:sz w:val="20"/>
                <w:szCs w:val="20"/>
              </w:rPr>
              <w:t>Transportation Department Design G</w:t>
            </w:r>
            <w:r>
              <w:rPr>
                <w:rFonts w:asciiTheme="minorHAnsi" w:hAnsiTheme="minorHAnsi"/>
                <w:sz w:val="20"/>
                <w:szCs w:val="20"/>
              </w:rPr>
              <w:t>uidelines</w:t>
            </w:r>
          </w:p>
        </w:tc>
        <w:tc>
          <w:tcPr>
            <w:tcW w:w="2700" w:type="dxa"/>
          </w:tcPr>
          <w:p w:rsidR="00D0550A" w:rsidRPr="00251505" w:rsidRDefault="00E11311" w:rsidP="00E11311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Ordinance was updated in 2006 together with Critical Areas Ordinance.  The update added a special c</w:t>
            </w:r>
            <w:r w:rsidR="00D0550A">
              <w:rPr>
                <w:rFonts w:asciiTheme="minorHAnsi" w:hAnsiTheme="minorHAnsi"/>
                <w:sz w:val="20"/>
                <w:szCs w:val="20"/>
              </w:rPr>
              <w:t xml:space="preserve">onservation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design </w:t>
            </w:r>
            <w:r w:rsidR="00D0550A">
              <w:rPr>
                <w:rFonts w:asciiTheme="minorHAnsi" w:hAnsiTheme="minorHAnsi"/>
                <w:sz w:val="20"/>
                <w:szCs w:val="20"/>
              </w:rPr>
              <w:t xml:space="preserve">features </w:t>
            </w:r>
            <w:r>
              <w:rPr>
                <w:rFonts w:asciiTheme="minorHAnsi" w:hAnsiTheme="minorHAnsi"/>
                <w:sz w:val="20"/>
                <w:szCs w:val="20"/>
              </w:rPr>
              <w:t>matrix</w:t>
            </w:r>
            <w:r w:rsidR="00D0550A">
              <w:rPr>
                <w:rFonts w:asciiTheme="minorHAnsi" w:hAnsiTheme="minorHAnsi"/>
                <w:sz w:val="20"/>
                <w:szCs w:val="20"/>
              </w:rPr>
              <w:t>; Projects must have 40% of gross land area encompassing conservation design features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628" w:type="dxa"/>
          </w:tcPr>
          <w:p w:rsidR="00D0550A" w:rsidRDefault="00E11311" w:rsidP="00E11311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Since Bellevue is largely built-out, there have only been six projects completed since the last PUD ordinance update in 2006; Most projects have been relatively small and all involve critical areas.  While some projects have utilized density bonuses, the primary reason for doing a PUD is to get relief from strict lot size minimums in applicable zones.</w:t>
            </w:r>
          </w:p>
        </w:tc>
      </w:tr>
      <w:tr w:rsidR="00D0550A" w:rsidRPr="00251505" w:rsidTr="002E6CC1">
        <w:tc>
          <w:tcPr>
            <w:tcW w:w="1548" w:type="dxa"/>
          </w:tcPr>
          <w:p w:rsidR="00D0550A" w:rsidRPr="00251505" w:rsidRDefault="00DB2F06" w:rsidP="00251505">
            <w:pPr>
              <w:pStyle w:val="body"/>
              <w:spacing w:before="80" w:after="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Whatcom County</w:t>
            </w:r>
            <w:r>
              <w:rPr>
                <w:rFonts w:asciiTheme="minorHAnsi" w:hAnsiTheme="minorHAnsi"/>
                <w:b/>
              </w:rPr>
              <w:br/>
            </w:r>
            <w:r>
              <w:rPr>
                <w:rFonts w:asciiTheme="minorHAnsi" w:hAnsiTheme="minorHAnsi"/>
              </w:rPr>
              <w:t>(1989-2009)</w:t>
            </w:r>
          </w:p>
        </w:tc>
        <w:tc>
          <w:tcPr>
            <w:tcW w:w="1980" w:type="dxa"/>
          </w:tcPr>
          <w:p w:rsidR="00D0550A" w:rsidRPr="00251505" w:rsidRDefault="00DB2F06" w:rsidP="00F03B68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Innovative &amp; efficient land use and design; Flexibility in zoning requirements; Permanent open space; </w:t>
            </w:r>
          </w:p>
        </w:tc>
        <w:tc>
          <w:tcPr>
            <w:tcW w:w="2520" w:type="dxa"/>
          </w:tcPr>
          <w:p w:rsidR="00D0550A" w:rsidRDefault="00DB2F06" w:rsidP="00F03B68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Up to 35% increase</w:t>
            </w:r>
            <w:r w:rsidR="00EC0B26">
              <w:rPr>
                <w:rFonts w:asciiTheme="minorHAnsi" w:hAnsiTheme="minorHAnsi"/>
                <w:sz w:val="20"/>
                <w:szCs w:val="20"/>
              </w:rPr>
              <w:t xml:space="preserve"> based on use of incentive list items to choose from:</w:t>
            </w:r>
          </w:p>
          <w:p w:rsidR="00EC0B26" w:rsidRPr="00EC0B26" w:rsidRDefault="00EC0B26" w:rsidP="00F03B68">
            <w:pPr>
              <w:pStyle w:val="list-1"/>
              <w:tabs>
                <w:tab w:val="clear" w:pos="360"/>
              </w:tabs>
              <w:ind w:left="252" w:hanging="180"/>
              <w:rPr>
                <w:szCs w:val="20"/>
              </w:rPr>
            </w:pPr>
            <w:r>
              <w:t>15% base increase</w:t>
            </w:r>
          </w:p>
          <w:p w:rsidR="00EC0B26" w:rsidRPr="00EC0B26" w:rsidRDefault="00EC0B26" w:rsidP="00F03B68">
            <w:pPr>
              <w:pStyle w:val="list-1"/>
              <w:tabs>
                <w:tab w:val="clear" w:pos="360"/>
              </w:tabs>
              <w:ind w:left="252" w:hanging="180"/>
              <w:rPr>
                <w:szCs w:val="20"/>
              </w:rPr>
            </w:pPr>
            <w:r>
              <w:t>10% for common open space improvements</w:t>
            </w:r>
          </w:p>
          <w:p w:rsidR="00EC0B26" w:rsidRPr="00EC0B26" w:rsidRDefault="00EC0B26" w:rsidP="00F03B68">
            <w:pPr>
              <w:pStyle w:val="list-1"/>
              <w:tabs>
                <w:tab w:val="clear" w:pos="360"/>
              </w:tabs>
              <w:ind w:left="252" w:hanging="180"/>
              <w:rPr>
                <w:szCs w:val="20"/>
              </w:rPr>
            </w:pPr>
            <w:r>
              <w:t>10% historic preservation</w:t>
            </w:r>
          </w:p>
          <w:p w:rsidR="00EC0B26" w:rsidRPr="00EC0B26" w:rsidRDefault="00EC0B26" w:rsidP="00F03B68">
            <w:pPr>
              <w:pStyle w:val="list-1"/>
              <w:tabs>
                <w:tab w:val="clear" w:pos="360"/>
              </w:tabs>
              <w:ind w:left="252" w:hanging="180"/>
              <w:rPr>
                <w:szCs w:val="20"/>
              </w:rPr>
            </w:pPr>
            <w:r>
              <w:t>10% energy efficiency</w:t>
            </w:r>
          </w:p>
          <w:p w:rsidR="00EC0B26" w:rsidRPr="00EC0B26" w:rsidRDefault="00EC0B26" w:rsidP="00F03B68">
            <w:pPr>
              <w:pStyle w:val="list-1"/>
              <w:tabs>
                <w:tab w:val="clear" w:pos="360"/>
              </w:tabs>
              <w:ind w:left="252" w:hanging="180"/>
              <w:rPr>
                <w:szCs w:val="20"/>
              </w:rPr>
            </w:pPr>
            <w:r>
              <w:t>10% renewable energy</w:t>
            </w:r>
          </w:p>
          <w:p w:rsidR="00EC0B26" w:rsidRDefault="00EC0B26" w:rsidP="00F03B68">
            <w:pPr>
              <w:pStyle w:val="list-1"/>
              <w:tabs>
                <w:tab w:val="clear" w:pos="360"/>
              </w:tabs>
              <w:ind w:left="252" w:hanging="180"/>
              <w:rPr>
                <w:szCs w:val="20"/>
              </w:rPr>
            </w:pPr>
            <w:r>
              <w:rPr>
                <w:szCs w:val="20"/>
              </w:rPr>
              <w:t>15% shoreline public access</w:t>
            </w:r>
          </w:p>
          <w:p w:rsidR="00EC0B26" w:rsidRDefault="00EC0B26" w:rsidP="00F03B68">
            <w:pPr>
              <w:pStyle w:val="list-1"/>
              <w:tabs>
                <w:tab w:val="clear" w:pos="360"/>
              </w:tabs>
              <w:ind w:left="252" w:hanging="180"/>
              <w:rPr>
                <w:szCs w:val="20"/>
              </w:rPr>
            </w:pPr>
            <w:r>
              <w:rPr>
                <w:szCs w:val="20"/>
              </w:rPr>
              <w:t>15% alley access</w:t>
            </w:r>
          </w:p>
          <w:p w:rsidR="00EC0B26" w:rsidRPr="00EC0B26" w:rsidRDefault="00EC0B26" w:rsidP="00F03B68">
            <w:pPr>
              <w:pStyle w:val="Tablebody"/>
              <w:jc w:val="left"/>
            </w:pPr>
            <w:r>
              <w:t>Up to 50% height bonus possible</w:t>
            </w:r>
          </w:p>
        </w:tc>
        <w:tc>
          <w:tcPr>
            <w:tcW w:w="1530" w:type="dxa"/>
          </w:tcPr>
          <w:p w:rsidR="00D0550A" w:rsidRPr="00251505" w:rsidRDefault="00DB2F06" w:rsidP="00251505">
            <w:pPr>
              <w:pStyle w:val="body"/>
              <w:spacing w:before="80" w:after="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Yes, some flexibility for commercial uses in residential zone and vice versa</w:t>
            </w:r>
          </w:p>
        </w:tc>
        <w:tc>
          <w:tcPr>
            <w:tcW w:w="1710" w:type="dxa"/>
          </w:tcPr>
          <w:p w:rsidR="00D0550A" w:rsidRPr="00251505" w:rsidRDefault="002E6CC1" w:rsidP="00251505">
            <w:pPr>
              <w:pStyle w:val="body"/>
              <w:spacing w:before="80" w:after="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2700" w:type="dxa"/>
          </w:tcPr>
          <w:p w:rsidR="00D0550A" w:rsidRDefault="00DB2F06" w:rsidP="00EC0B26">
            <w:pPr>
              <w:pStyle w:val="Tablebody"/>
              <w:jc w:val="left"/>
            </w:pPr>
            <w:r>
              <w:t>Project must be within UGA and at least 2 acres in size; Extensive perimeter design criteria</w:t>
            </w:r>
          </w:p>
          <w:p w:rsidR="00EC0B26" w:rsidRDefault="00EC0B26" w:rsidP="00EC0B26">
            <w:pPr>
              <w:pStyle w:val="Tablebody"/>
              <w:jc w:val="left"/>
            </w:pPr>
            <w:r>
              <w:t>Reduction in parking possible</w:t>
            </w:r>
          </w:p>
          <w:p w:rsidR="00EC0B26" w:rsidRPr="00251505" w:rsidRDefault="00EC0B26" w:rsidP="00EC0B26">
            <w:pPr>
              <w:pStyle w:val="Tablebody"/>
              <w:jc w:val="left"/>
            </w:pPr>
          </w:p>
        </w:tc>
        <w:tc>
          <w:tcPr>
            <w:tcW w:w="2628" w:type="dxa"/>
          </w:tcPr>
          <w:p w:rsidR="002E6CC1" w:rsidRDefault="002E6CC1" w:rsidP="002E6CC1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Nearly all PUDs a</w:t>
            </w:r>
            <w:r w:rsidR="00CB7AF1">
              <w:rPr>
                <w:rFonts w:asciiTheme="minorHAnsi" w:hAnsiTheme="minorHAnsi"/>
                <w:sz w:val="20"/>
                <w:szCs w:val="20"/>
              </w:rPr>
              <w:t>re in Birch Bay – an unincorpor</w:t>
            </w:r>
            <w:r w:rsidR="008745C8">
              <w:rPr>
                <w:rFonts w:asciiTheme="minorHAnsi" w:hAnsiTheme="minorHAnsi"/>
                <w:sz w:val="20"/>
                <w:szCs w:val="20"/>
              </w:rPr>
              <w:t>ated UGA island – most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are single family developments and </w:t>
            </w:r>
            <w:r w:rsidRPr="002E6CC1">
              <w:rPr>
                <w:rFonts w:asciiTheme="minorHAnsi" w:hAnsiTheme="minorHAnsi"/>
                <w:sz w:val="20"/>
                <w:szCs w:val="20"/>
                <w:u w:val="single"/>
              </w:rPr>
              <w:t>none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have used the density bonus provision; </w:t>
            </w:r>
            <w:r w:rsidR="000761F1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 xml:space="preserve">All are impacted by critical areas – thus asking for reduced setbacks and changes to road standards; </w:t>
            </w:r>
          </w:p>
          <w:p w:rsidR="00D0550A" w:rsidRPr="00251505" w:rsidRDefault="002E6CC1" w:rsidP="002E6CC1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County has been slow to enforce PUD conditions of approval</w:t>
            </w:r>
          </w:p>
        </w:tc>
      </w:tr>
      <w:tr w:rsidR="00D0550A" w:rsidRPr="00251505" w:rsidTr="00EC0B26">
        <w:tc>
          <w:tcPr>
            <w:tcW w:w="1548" w:type="dxa"/>
          </w:tcPr>
          <w:p w:rsidR="00D0550A" w:rsidRPr="00F03B68" w:rsidRDefault="00F03B68" w:rsidP="00464DA6">
            <w:pPr>
              <w:pStyle w:val="body"/>
              <w:keepNext/>
              <w:spacing w:before="8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lastRenderedPageBreak/>
              <w:t>Marysville</w:t>
            </w:r>
            <w:r>
              <w:rPr>
                <w:rFonts w:asciiTheme="minorHAnsi" w:hAnsiTheme="minorHAnsi"/>
                <w:b/>
              </w:rPr>
              <w:br/>
            </w:r>
            <w:r>
              <w:rPr>
                <w:rFonts w:asciiTheme="minorHAnsi" w:hAnsiTheme="minorHAnsi"/>
              </w:rPr>
              <w:t>(20</w:t>
            </w:r>
            <w:r w:rsidR="00464DA6">
              <w:rPr>
                <w:rFonts w:asciiTheme="minorHAnsi" w:hAnsiTheme="minorHAnsi"/>
              </w:rPr>
              <w:t>06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980" w:type="dxa"/>
          </w:tcPr>
          <w:p w:rsidR="00D0550A" w:rsidRPr="00251505" w:rsidRDefault="00F03B68" w:rsidP="00464DA6">
            <w:pPr>
              <w:pStyle w:val="body"/>
              <w:keepNext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Planned Residential Developments: Allow design flexibility and performance criteria; Emphasis on housing type choices, open space, environmental preservation, and compact development</w:t>
            </w:r>
          </w:p>
        </w:tc>
        <w:tc>
          <w:tcPr>
            <w:tcW w:w="2520" w:type="dxa"/>
          </w:tcPr>
          <w:p w:rsidR="00203229" w:rsidRDefault="00203229" w:rsidP="00464DA6">
            <w:pPr>
              <w:pStyle w:val="body"/>
              <w:keepNext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Includes very pre</w:t>
            </w:r>
            <w:r w:rsidR="00CB7AF1">
              <w:rPr>
                <w:rFonts w:asciiTheme="minorHAnsi" w:hAnsiTheme="minorHAnsi"/>
                <w:sz w:val="20"/>
                <w:szCs w:val="20"/>
              </w:rPr>
              <w:t xml:space="preserve">scriptive parameters to allow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modifications to parking and dimensional standards; </w:t>
            </w:r>
          </w:p>
          <w:p w:rsidR="00D0550A" w:rsidRPr="00251505" w:rsidRDefault="00203229" w:rsidP="00464DA6">
            <w:pPr>
              <w:pStyle w:val="body"/>
              <w:keepNext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Includes special residential density incentives chapter that applies to PRD’s.  Big list of 10 bonus benefit items to choose from – each with distinct bonus calculation; Benefit topics range from affordable housing to energy conservation; No max % or number of density bonus increase – you can use all ten – max bonus is tied to each benefit element.</w:t>
            </w:r>
          </w:p>
        </w:tc>
        <w:tc>
          <w:tcPr>
            <w:tcW w:w="1530" w:type="dxa"/>
          </w:tcPr>
          <w:p w:rsidR="00D0550A" w:rsidRPr="00251505" w:rsidRDefault="0061526D" w:rsidP="00464DA6">
            <w:pPr>
              <w:pStyle w:val="body"/>
              <w:keepNext/>
              <w:spacing w:before="80" w:after="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Flexibility in housing types with max #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’s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&amp; type of multifamily housing</w:t>
            </w:r>
          </w:p>
        </w:tc>
        <w:tc>
          <w:tcPr>
            <w:tcW w:w="1710" w:type="dxa"/>
          </w:tcPr>
          <w:p w:rsidR="00D0550A" w:rsidRPr="00251505" w:rsidRDefault="00203229" w:rsidP="00464DA6">
            <w:pPr>
              <w:pStyle w:val="body"/>
              <w:keepNext/>
              <w:spacing w:before="80" w:after="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Includes special PRD access street standards, but allows flexibility provided design meets special criteria</w:t>
            </w:r>
          </w:p>
        </w:tc>
        <w:tc>
          <w:tcPr>
            <w:tcW w:w="2700" w:type="dxa"/>
          </w:tcPr>
          <w:p w:rsidR="00D0550A" w:rsidRDefault="0061526D" w:rsidP="00464DA6">
            <w:pPr>
              <w:pStyle w:val="body"/>
              <w:keepNext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One acre minimum size;</w:t>
            </w:r>
          </w:p>
          <w:p w:rsidR="0061526D" w:rsidRDefault="0061526D" w:rsidP="00464DA6">
            <w:pPr>
              <w:pStyle w:val="body"/>
              <w:keepNext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Includes both required criteria and optional criteria - PRD’s must include at least 2 optional criteria;</w:t>
            </w:r>
          </w:p>
          <w:p w:rsidR="0061526D" w:rsidRDefault="0061526D" w:rsidP="00464DA6">
            <w:pPr>
              <w:pStyle w:val="body"/>
              <w:keepNext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Includes prescriptive standards for small lot development (&lt;5k lots)</w:t>
            </w:r>
            <w:r w:rsidR="00203229">
              <w:rPr>
                <w:rFonts w:asciiTheme="minorHAnsi" w:hAnsiTheme="minorHAnsi"/>
                <w:sz w:val="20"/>
                <w:szCs w:val="20"/>
              </w:rPr>
              <w:t>;</w:t>
            </w:r>
          </w:p>
          <w:p w:rsidR="00203229" w:rsidRPr="00251505" w:rsidRDefault="00203229" w:rsidP="00464DA6">
            <w:pPr>
              <w:pStyle w:val="body"/>
              <w:keepNext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28" w:type="dxa"/>
          </w:tcPr>
          <w:p w:rsidR="00D0550A" w:rsidRPr="00464DA6" w:rsidRDefault="00464DA6" w:rsidP="00464DA6">
            <w:pPr>
              <w:pStyle w:val="body"/>
              <w:keepNext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464DA6">
              <w:rPr>
                <w:rFonts w:asciiTheme="minorHAnsi" w:hAnsiTheme="minorHAnsi"/>
                <w:sz w:val="20"/>
                <w:szCs w:val="20"/>
              </w:rPr>
              <w:t xml:space="preserve">Three </w:t>
            </w:r>
            <w:proofErr w:type="gramStart"/>
            <w:r w:rsidRPr="00464DA6">
              <w:rPr>
                <w:rFonts w:asciiTheme="minorHAnsi" w:hAnsiTheme="minorHAnsi"/>
                <w:sz w:val="20"/>
                <w:szCs w:val="20"/>
              </w:rPr>
              <w:t>PUD’s</w:t>
            </w:r>
            <w:proofErr w:type="gramEnd"/>
            <w:r w:rsidRPr="00464DA6">
              <w:rPr>
                <w:rFonts w:asciiTheme="minorHAnsi" w:hAnsiTheme="minorHAnsi"/>
                <w:sz w:val="20"/>
                <w:szCs w:val="20"/>
              </w:rPr>
              <w:t xml:space="preserve"> have gone through the system since its 2006 adoption, but only one development since 2008 (economic slowdown). The flexibility with housing types has been the biggest factor in their use; The subdivision ordinance allows considerable flexibility in design, so it often reduces the need or desire to do a PRD.</w:t>
            </w:r>
          </w:p>
        </w:tc>
      </w:tr>
      <w:tr w:rsidR="00D0550A" w:rsidRPr="00251505" w:rsidTr="00EC0B26">
        <w:tc>
          <w:tcPr>
            <w:tcW w:w="1548" w:type="dxa"/>
          </w:tcPr>
          <w:p w:rsidR="00D0550A" w:rsidRPr="001245E2" w:rsidRDefault="001245E2" w:rsidP="00251505">
            <w:pPr>
              <w:pStyle w:val="body"/>
              <w:spacing w:before="80"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Chelan</w:t>
            </w:r>
            <w:r w:rsidR="008F72DE">
              <w:rPr>
                <w:rFonts w:asciiTheme="minorHAnsi" w:hAnsiTheme="minorHAnsi"/>
                <w:b/>
              </w:rPr>
              <w:t xml:space="preserve">: </w:t>
            </w:r>
            <w:r w:rsidR="008F72DE" w:rsidRPr="008F72DE">
              <w:rPr>
                <w:rFonts w:asciiTheme="minorHAnsi" w:hAnsiTheme="minorHAnsi"/>
              </w:rPr>
              <w:t>Planned Development District</w:t>
            </w:r>
            <w:r>
              <w:rPr>
                <w:rFonts w:asciiTheme="minorHAnsi" w:hAnsiTheme="minorHAnsi"/>
                <w:b/>
              </w:rPr>
              <w:br/>
            </w:r>
            <w:r>
              <w:rPr>
                <w:rFonts w:asciiTheme="minorHAnsi" w:hAnsiTheme="minorHAnsi"/>
              </w:rPr>
              <w:t>(1994)</w:t>
            </w:r>
          </w:p>
        </w:tc>
        <w:tc>
          <w:tcPr>
            <w:tcW w:w="1980" w:type="dxa"/>
          </w:tcPr>
          <w:p w:rsidR="00D0550A" w:rsidRPr="00251505" w:rsidRDefault="008F72DE" w:rsidP="00F03B68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Permits flexibility in design, development and uses – consistent with the comp plan; But only if the type of development wouldn’t be allowed in another zoning district. </w:t>
            </w:r>
          </w:p>
        </w:tc>
        <w:tc>
          <w:tcPr>
            <w:tcW w:w="2520" w:type="dxa"/>
          </w:tcPr>
          <w:p w:rsidR="00D0550A" w:rsidRPr="00251505" w:rsidRDefault="008F72DE" w:rsidP="008F72DE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 – there is flexibility in the density level, but no parameters are included</w:t>
            </w:r>
          </w:p>
        </w:tc>
        <w:tc>
          <w:tcPr>
            <w:tcW w:w="1530" w:type="dxa"/>
          </w:tcPr>
          <w:p w:rsidR="00D0550A" w:rsidRPr="00251505" w:rsidRDefault="008F72DE" w:rsidP="00251505">
            <w:pPr>
              <w:pStyle w:val="body"/>
              <w:spacing w:before="80" w:after="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 – no specific use parameters are included; Applicants must submit supporting market analysis and address service &amp; utility impacts</w:t>
            </w:r>
          </w:p>
        </w:tc>
        <w:tc>
          <w:tcPr>
            <w:tcW w:w="1710" w:type="dxa"/>
          </w:tcPr>
          <w:p w:rsidR="00D0550A" w:rsidRPr="00251505" w:rsidRDefault="008F72DE" w:rsidP="00251505">
            <w:pPr>
              <w:pStyle w:val="body"/>
              <w:spacing w:before="80" w:after="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Yes, but no specifics are provided</w:t>
            </w:r>
          </w:p>
        </w:tc>
        <w:tc>
          <w:tcPr>
            <w:tcW w:w="2700" w:type="dxa"/>
          </w:tcPr>
          <w:p w:rsidR="00D0550A" w:rsidRDefault="008F72DE" w:rsidP="008F72DE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CB7AF1">
              <w:rPr>
                <w:rFonts w:asciiTheme="minorHAnsi" w:hAnsiTheme="minorHAnsi"/>
                <w:sz w:val="20"/>
                <w:szCs w:val="20"/>
              </w:rPr>
              <w:t>ordinance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encourages innovative development but there are two notable features that stand out:</w:t>
            </w:r>
          </w:p>
          <w:p w:rsidR="008F72DE" w:rsidRDefault="008F72DE" w:rsidP="002D1CA4">
            <w:pPr>
              <w:pStyle w:val="list-1"/>
              <w:tabs>
                <w:tab w:val="clear" w:pos="360"/>
              </w:tabs>
              <w:ind w:left="252" w:hanging="180"/>
            </w:pPr>
            <w:r>
              <w:t xml:space="preserve">It only allows a type of development that wouldn’t be allowed in another zoning district </w:t>
            </w:r>
            <w:r w:rsidR="002D1CA4">
              <w:t>(but interpretation of this has been a challenge)</w:t>
            </w:r>
          </w:p>
          <w:p w:rsidR="002D1CA4" w:rsidRPr="00251505" w:rsidRDefault="002D1CA4" w:rsidP="002D1CA4">
            <w:pPr>
              <w:pStyle w:val="list-1"/>
              <w:tabs>
                <w:tab w:val="clear" w:pos="360"/>
              </w:tabs>
              <w:ind w:left="252" w:hanging="180"/>
            </w:pPr>
            <w:r>
              <w:t>There’s a notable lack of parameters and guidelines to assist applicants and staff in decision making on projects.</w:t>
            </w:r>
          </w:p>
        </w:tc>
        <w:tc>
          <w:tcPr>
            <w:tcW w:w="2628" w:type="dxa"/>
          </w:tcPr>
          <w:p w:rsidR="00D0550A" w:rsidRDefault="002D1CA4" w:rsidP="002D1CA4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While the innovative provisions are good, the lack of parameters and </w:t>
            </w:r>
            <w:r w:rsidR="003C09BF">
              <w:rPr>
                <w:rFonts w:asciiTheme="minorHAnsi" w:hAnsiTheme="minorHAnsi"/>
                <w:sz w:val="20"/>
                <w:szCs w:val="20"/>
              </w:rPr>
              <w:t xml:space="preserve">design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criteria make the ordinance difficult to administer; </w:t>
            </w:r>
          </w:p>
          <w:p w:rsidR="002D1CA4" w:rsidRPr="00251505" w:rsidRDefault="002D1CA4" w:rsidP="002D1CA4">
            <w:pPr>
              <w:pStyle w:val="body"/>
              <w:spacing w:before="80" w:after="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Most applicants appear to use provision to circumvent code – but the City is not getting innovative development and desirable amenities in large part due to the lack of “teeth” in the code.</w:t>
            </w:r>
          </w:p>
        </w:tc>
      </w:tr>
    </w:tbl>
    <w:p w:rsidR="00EC0B26" w:rsidRDefault="00EC0B26" w:rsidP="00251505">
      <w:pPr>
        <w:pStyle w:val="body"/>
        <w:rPr>
          <w:rFonts w:asciiTheme="minorHAnsi" w:hAnsiTheme="minorHAnsi"/>
        </w:rPr>
      </w:pPr>
    </w:p>
    <w:p w:rsidR="00EC0B26" w:rsidRPr="00464DA6" w:rsidRDefault="00EC0B26" w:rsidP="00464DA6">
      <w:pPr>
        <w:spacing w:before="0"/>
        <w:rPr>
          <w:rFonts w:asciiTheme="minorHAnsi" w:hAnsiTheme="minorHAnsi" w:cs="Arial"/>
          <w:sz w:val="22"/>
          <w:szCs w:val="22"/>
        </w:rPr>
      </w:pPr>
    </w:p>
    <w:sectPr w:rsidR="00EC0B26" w:rsidRPr="00464DA6" w:rsidSect="00251505">
      <w:footerReference w:type="default" r:id="rId7"/>
      <w:type w:val="oddPage"/>
      <w:pgSz w:w="15840" w:h="12240" w:orient="landscape" w:code="1"/>
      <w:pgMar w:top="720" w:right="720" w:bottom="720" w:left="720" w:header="720" w:footer="576" w:gutter="0"/>
      <w:paperSrc w:first="15" w:other="15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DA6" w:rsidRDefault="00464DA6">
      <w:r>
        <w:separator/>
      </w:r>
    </w:p>
  </w:endnote>
  <w:endnote w:type="continuationSeparator" w:id="0">
    <w:p w:rsidR="00464DA6" w:rsidRDefault="00464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xieland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DA6" w:rsidRDefault="00464DA6" w:rsidP="002925A8">
    <w:pPr>
      <w:pStyle w:val="makers"/>
      <w:tabs>
        <w:tab w:val="clear" w:pos="4320"/>
        <w:tab w:val="clear" w:pos="8640"/>
        <w:tab w:val="right" w:pos="9360"/>
      </w:tabs>
    </w:pPr>
    <w:r>
      <w:t>MRSC PLANNING ADVISOR - PUD CASE STUDY CHART</w:t>
    </w:r>
  </w:p>
  <w:p w:rsidR="00464DA6" w:rsidRDefault="00464DA6" w:rsidP="00464DA6">
    <w:pPr>
      <w:pStyle w:val="Footer"/>
      <w:tabs>
        <w:tab w:val="clear" w:pos="4320"/>
        <w:tab w:val="clear" w:pos="8640"/>
        <w:tab w:val="right" w:pos="14490"/>
      </w:tabs>
      <w:rPr>
        <w:rStyle w:val="PageNumber"/>
      </w:rPr>
    </w:pPr>
    <w:r>
      <w:rPr>
        <w:b/>
      </w:rPr>
      <w:t>MAKERS</w:t>
    </w:r>
    <w:r>
      <w:t xml:space="preserve"> architecture and urban design</w:t>
    </w:r>
    <w:r>
      <w:tab/>
      <w:t xml:space="preserve">Page </w:t>
    </w:r>
    <w:r w:rsidR="00C1562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15623">
      <w:rPr>
        <w:rStyle w:val="PageNumber"/>
      </w:rPr>
      <w:fldChar w:fldCharType="separate"/>
    </w:r>
    <w:r w:rsidR="00CB7AF1">
      <w:rPr>
        <w:rStyle w:val="PageNumber"/>
        <w:noProof/>
      </w:rPr>
      <w:t>2</w:t>
    </w:r>
    <w:r w:rsidR="00C15623">
      <w:rPr>
        <w:rStyle w:val="PageNumber"/>
      </w:rPr>
      <w:fldChar w:fldCharType="end"/>
    </w:r>
  </w:p>
  <w:p w:rsidR="00464DA6" w:rsidRPr="00193D51" w:rsidRDefault="00C15623" w:rsidP="00193D51">
    <w:pPr>
      <w:pStyle w:val="file"/>
    </w:pPr>
    <w:fldSimple w:instr=" FILENAME  \* MERGEFORMAT ">
      <w:r w:rsidR="007C0344" w:rsidRPr="007C0344">
        <w:rPr>
          <w:rStyle w:val="PageNumber"/>
          <w:noProof/>
          <w:sz w:val="12"/>
        </w:rPr>
        <w:t>PUD</w:t>
      </w:r>
      <w:r w:rsidR="007C0344">
        <w:rPr>
          <w:noProof/>
        </w:rPr>
        <w:t>_chart.docx</w:t>
      </w:r>
    </w:fldSimple>
    <w:r w:rsidR="00464DA6" w:rsidRPr="00193D51">
      <w:rPr>
        <w:rStyle w:val="PageNumber"/>
        <w:sz w:val="12"/>
      </w:rPr>
      <w:t xml:space="preserve"> - </w:t>
    </w:r>
    <w:r w:rsidRPr="00193D51">
      <w:rPr>
        <w:rStyle w:val="PageNumber"/>
        <w:sz w:val="12"/>
      </w:rPr>
      <w:fldChar w:fldCharType="begin"/>
    </w:r>
    <w:r w:rsidR="00464DA6" w:rsidRPr="00193D51">
      <w:rPr>
        <w:rStyle w:val="PageNumber"/>
        <w:sz w:val="12"/>
      </w:rPr>
      <w:instrText xml:space="preserve"> SAVEDATE \@ "M/d/yy" \* MERGEFORMAT </w:instrText>
    </w:r>
    <w:r w:rsidRPr="00193D51">
      <w:rPr>
        <w:rStyle w:val="PageNumber"/>
        <w:sz w:val="12"/>
      </w:rPr>
      <w:fldChar w:fldCharType="separate"/>
    </w:r>
    <w:r w:rsidR="00CB7AF1">
      <w:rPr>
        <w:rStyle w:val="PageNumber"/>
        <w:noProof/>
        <w:sz w:val="12"/>
      </w:rPr>
      <w:t>10/30/12</w:t>
    </w:r>
    <w:r w:rsidRPr="00193D51">
      <w:rPr>
        <w:rStyle w:val="PageNumber"/>
        <w:sz w:val="12"/>
      </w:rPr>
      <w:fldChar w:fldCharType="end"/>
    </w:r>
    <w:r w:rsidR="00464DA6" w:rsidRPr="00193D51">
      <w:rPr>
        <w:rStyle w:val="PageNumber"/>
        <w:sz w:val="1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DA6" w:rsidRDefault="00464DA6">
      <w:r>
        <w:separator/>
      </w:r>
    </w:p>
  </w:footnote>
  <w:footnote w:type="continuationSeparator" w:id="0">
    <w:p w:rsidR="00464DA6" w:rsidRDefault="00464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7DCE1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5460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8B221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BC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08628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D239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B8C2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46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3C0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08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565D4"/>
    <w:multiLevelType w:val="hybridMultilevel"/>
    <w:tmpl w:val="AE465CB0"/>
    <w:lvl w:ilvl="0" w:tplc="53CADA50">
      <w:start w:val="1"/>
      <w:numFmt w:val="bullet"/>
      <w:pStyle w:val="list-3"/>
      <w:lvlText w:val=""/>
      <w:lvlJc w:val="left"/>
      <w:pPr>
        <w:tabs>
          <w:tab w:val="num" w:pos="1152"/>
        </w:tabs>
        <w:ind w:left="108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F32FBE"/>
    <w:multiLevelType w:val="hybridMultilevel"/>
    <w:tmpl w:val="90EE89D4"/>
    <w:lvl w:ilvl="0" w:tplc="FB045048">
      <w:start w:val="1"/>
      <w:numFmt w:val="bullet"/>
      <w:pStyle w:val="list-1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838D6"/>
    <w:multiLevelType w:val="hybridMultilevel"/>
    <w:tmpl w:val="AA6C656E"/>
    <w:lvl w:ilvl="0" w:tplc="BDA60B4C">
      <w:start w:val="1"/>
      <w:numFmt w:val="bullet"/>
      <w:pStyle w:val="list-2"/>
      <w:lvlText w:val=""/>
      <w:lvlJc w:val="left"/>
      <w:pPr>
        <w:tabs>
          <w:tab w:val="num" w:pos="792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94301"/>
    <w:multiLevelType w:val="hybridMultilevel"/>
    <w:tmpl w:val="FEB2A650"/>
    <w:lvl w:ilvl="0" w:tplc="C3B8FF84">
      <w:start w:val="1"/>
      <w:numFmt w:val="bullet"/>
      <w:pStyle w:val="list-major"/>
      <w:lvlText w:val=""/>
      <w:lvlJc w:val="left"/>
      <w:pPr>
        <w:tabs>
          <w:tab w:val="num" w:pos="360"/>
        </w:tabs>
        <w:ind w:left="360" w:hanging="360"/>
      </w:pPr>
      <w:rPr>
        <w:rFonts w:ascii="Dixieland" w:hAnsi="Dixielan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C35"/>
    <w:rsid w:val="000761F1"/>
    <w:rsid w:val="001245E2"/>
    <w:rsid w:val="001365D6"/>
    <w:rsid w:val="00193D51"/>
    <w:rsid w:val="001954FF"/>
    <w:rsid w:val="001A18F4"/>
    <w:rsid w:val="001D18F9"/>
    <w:rsid w:val="001F247A"/>
    <w:rsid w:val="00203229"/>
    <w:rsid w:val="00251505"/>
    <w:rsid w:val="002863AC"/>
    <w:rsid w:val="002925A8"/>
    <w:rsid w:val="00293150"/>
    <w:rsid w:val="002B774D"/>
    <w:rsid w:val="002D1CA4"/>
    <w:rsid w:val="002E6CC1"/>
    <w:rsid w:val="002F73EF"/>
    <w:rsid w:val="00371AB0"/>
    <w:rsid w:val="003C09BF"/>
    <w:rsid w:val="003D725F"/>
    <w:rsid w:val="004410AD"/>
    <w:rsid w:val="0044443C"/>
    <w:rsid w:val="00464DA6"/>
    <w:rsid w:val="004B1DC3"/>
    <w:rsid w:val="005A23C6"/>
    <w:rsid w:val="005D6788"/>
    <w:rsid w:val="0061526D"/>
    <w:rsid w:val="00625F78"/>
    <w:rsid w:val="006A3AFD"/>
    <w:rsid w:val="007C0344"/>
    <w:rsid w:val="008745C8"/>
    <w:rsid w:val="008A6C35"/>
    <w:rsid w:val="008F72DE"/>
    <w:rsid w:val="00936C30"/>
    <w:rsid w:val="009F46CD"/>
    <w:rsid w:val="00A26020"/>
    <w:rsid w:val="00AA5052"/>
    <w:rsid w:val="00AD5449"/>
    <w:rsid w:val="00C15623"/>
    <w:rsid w:val="00C86067"/>
    <w:rsid w:val="00CA6C6A"/>
    <w:rsid w:val="00CA719E"/>
    <w:rsid w:val="00CB50CE"/>
    <w:rsid w:val="00CB7AF1"/>
    <w:rsid w:val="00D0550A"/>
    <w:rsid w:val="00D148C0"/>
    <w:rsid w:val="00D66401"/>
    <w:rsid w:val="00DA1D2E"/>
    <w:rsid w:val="00DA6224"/>
    <w:rsid w:val="00DB2F06"/>
    <w:rsid w:val="00DD0B9F"/>
    <w:rsid w:val="00DF08FA"/>
    <w:rsid w:val="00E11311"/>
    <w:rsid w:val="00E3488C"/>
    <w:rsid w:val="00E543A3"/>
    <w:rsid w:val="00EC0B26"/>
    <w:rsid w:val="00F03B68"/>
    <w:rsid w:val="00F11568"/>
    <w:rsid w:val="00F8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B9F"/>
    <w:pPr>
      <w:spacing w:before="240"/>
    </w:pPr>
    <w:rPr>
      <w:sz w:val="24"/>
    </w:rPr>
  </w:style>
  <w:style w:type="paragraph" w:styleId="Heading1">
    <w:name w:val="heading 1"/>
    <w:basedOn w:val="Normal"/>
    <w:next w:val="body0"/>
    <w:qFormat/>
    <w:rsid w:val="001A18F4"/>
    <w:pPr>
      <w:keepNext/>
      <w:spacing w:before="480" w:after="160"/>
      <w:ind w:left="720" w:hanging="720"/>
      <w:outlineLvl w:val="0"/>
    </w:pPr>
    <w:rPr>
      <w:rFonts w:ascii="Arial" w:hAnsi="Arial"/>
      <w:kern w:val="28"/>
      <w:sz w:val="48"/>
    </w:rPr>
  </w:style>
  <w:style w:type="paragraph" w:styleId="Heading2">
    <w:name w:val="heading 2"/>
    <w:basedOn w:val="Normal"/>
    <w:next w:val="body0"/>
    <w:qFormat/>
    <w:rsid w:val="001A18F4"/>
    <w:pPr>
      <w:keepNext/>
      <w:spacing w:before="360" w:after="120"/>
      <w:outlineLvl w:val="1"/>
    </w:pPr>
    <w:rPr>
      <w:rFonts w:ascii="Arial" w:hAnsi="Arial"/>
      <w:sz w:val="40"/>
    </w:rPr>
  </w:style>
  <w:style w:type="paragraph" w:styleId="Heading3">
    <w:name w:val="heading 3"/>
    <w:basedOn w:val="Normal"/>
    <w:next w:val="body0"/>
    <w:qFormat/>
    <w:rsid w:val="001A18F4"/>
    <w:pPr>
      <w:keepNext/>
      <w:spacing w:before="320" w:after="80"/>
      <w:outlineLvl w:val="2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25A8"/>
    <w:pPr>
      <w:tabs>
        <w:tab w:val="center" w:pos="4320"/>
        <w:tab w:val="right" w:pos="8640"/>
      </w:tabs>
      <w:spacing w:before="0"/>
    </w:pPr>
    <w:rPr>
      <w:rFonts w:ascii="Arial" w:hAnsi="Arial"/>
    </w:rPr>
  </w:style>
  <w:style w:type="paragraph" w:styleId="Footer">
    <w:name w:val="footer"/>
    <w:basedOn w:val="Normal"/>
    <w:rsid w:val="00DD0B9F"/>
    <w:pPr>
      <w:pBdr>
        <w:top w:val="single" w:sz="6" w:space="1" w:color="auto"/>
      </w:pBdr>
      <w:tabs>
        <w:tab w:val="center" w:pos="4320"/>
        <w:tab w:val="right" w:pos="8640"/>
      </w:tabs>
      <w:spacing w:before="0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DD0B9F"/>
    <w:rPr>
      <w:rFonts w:ascii="Arial" w:hAnsi="Arial"/>
      <w:sz w:val="20"/>
    </w:rPr>
  </w:style>
  <w:style w:type="paragraph" w:customStyle="1" w:styleId="file">
    <w:name w:val="file"/>
    <w:basedOn w:val="Footer"/>
    <w:rsid w:val="00193D51"/>
    <w:rPr>
      <w:sz w:val="12"/>
    </w:rPr>
  </w:style>
  <w:style w:type="paragraph" w:customStyle="1" w:styleId="body">
    <w:name w:val="body"/>
    <w:basedOn w:val="Normal"/>
    <w:rsid w:val="002B774D"/>
    <w:pPr>
      <w:spacing w:line="264" w:lineRule="auto"/>
    </w:pPr>
    <w:rPr>
      <w:rFonts w:ascii="Arial" w:hAnsi="Arial" w:cs="Arial"/>
      <w:sz w:val="22"/>
      <w:szCs w:val="22"/>
    </w:rPr>
  </w:style>
  <w:style w:type="paragraph" w:customStyle="1" w:styleId="body0">
    <w:name w:val="body/0"/>
    <w:basedOn w:val="body"/>
    <w:next w:val="body"/>
    <w:rsid w:val="00DD0B9F"/>
    <w:pPr>
      <w:spacing w:before="0"/>
    </w:pPr>
  </w:style>
  <w:style w:type="paragraph" w:customStyle="1" w:styleId="fig">
    <w:name w:val="fig"/>
    <w:basedOn w:val="Normal"/>
    <w:next w:val="Caption"/>
    <w:rsid w:val="00DD0B9F"/>
    <w:pPr>
      <w:spacing w:before="0"/>
      <w:jc w:val="right"/>
    </w:pPr>
    <w:rPr>
      <w:rFonts w:ascii="Arial" w:hAnsi="Arial"/>
      <w:b/>
      <w:sz w:val="20"/>
    </w:rPr>
  </w:style>
  <w:style w:type="paragraph" w:customStyle="1" w:styleId="makers">
    <w:name w:val="makers"/>
    <w:basedOn w:val="Footer"/>
    <w:rsid w:val="00DD0B9F"/>
    <w:pPr>
      <w:pBdr>
        <w:top w:val="none" w:sz="0" w:space="0" w:color="auto"/>
      </w:pBdr>
      <w:spacing w:before="240"/>
    </w:pPr>
  </w:style>
  <w:style w:type="paragraph" w:styleId="Title">
    <w:name w:val="Title"/>
    <w:basedOn w:val="Normal"/>
    <w:next w:val="Title-2"/>
    <w:qFormat/>
    <w:rsid w:val="00DD0B9F"/>
    <w:pPr>
      <w:spacing w:before="0" w:after="60"/>
      <w:jc w:val="center"/>
    </w:pPr>
    <w:rPr>
      <w:rFonts w:ascii="Arial" w:hAnsi="Arial"/>
      <w:b/>
      <w:caps/>
      <w:kern w:val="28"/>
      <w:sz w:val="28"/>
    </w:rPr>
  </w:style>
  <w:style w:type="paragraph" w:styleId="Caption">
    <w:name w:val="caption"/>
    <w:basedOn w:val="Normal"/>
    <w:next w:val="Normal"/>
    <w:qFormat/>
    <w:rsid w:val="00DD0B9F"/>
    <w:pPr>
      <w:spacing w:before="120" w:after="120"/>
      <w:jc w:val="right"/>
    </w:pPr>
    <w:rPr>
      <w:rFonts w:ascii="Arial" w:hAnsi="Arial"/>
      <w:i/>
      <w:sz w:val="20"/>
    </w:rPr>
  </w:style>
  <w:style w:type="paragraph" w:customStyle="1" w:styleId="body-2">
    <w:name w:val="body-2"/>
    <w:basedOn w:val="body"/>
    <w:rsid w:val="00DD0B9F"/>
    <w:pPr>
      <w:spacing w:before="160"/>
      <w:ind w:left="360"/>
    </w:pPr>
  </w:style>
  <w:style w:type="paragraph" w:customStyle="1" w:styleId="body-20">
    <w:name w:val="body-2/0"/>
    <w:basedOn w:val="body-2"/>
    <w:next w:val="body-2"/>
    <w:rsid w:val="00DD0B9F"/>
    <w:pPr>
      <w:spacing w:before="0"/>
    </w:pPr>
  </w:style>
  <w:style w:type="paragraph" w:customStyle="1" w:styleId="Title-2">
    <w:name w:val="Title-2"/>
    <w:basedOn w:val="Title"/>
    <w:next w:val="Title-date"/>
    <w:rsid w:val="001A18F4"/>
    <w:pPr>
      <w:spacing w:before="240" w:after="0"/>
    </w:pPr>
    <w:rPr>
      <w:caps w:val="0"/>
      <w:sz w:val="36"/>
    </w:rPr>
  </w:style>
  <w:style w:type="paragraph" w:customStyle="1" w:styleId="list-1">
    <w:name w:val="list-1"/>
    <w:basedOn w:val="Normal"/>
    <w:rsid w:val="00EC0B26"/>
    <w:pPr>
      <w:numPr>
        <w:numId w:val="11"/>
      </w:numPr>
      <w:tabs>
        <w:tab w:val="clear" w:pos="432"/>
        <w:tab w:val="num" w:pos="360"/>
      </w:tabs>
      <w:spacing w:before="0"/>
    </w:pPr>
    <w:rPr>
      <w:rFonts w:asciiTheme="minorHAnsi" w:hAnsiTheme="minorHAnsi" w:cs="Arial"/>
      <w:sz w:val="18"/>
      <w:szCs w:val="18"/>
    </w:rPr>
  </w:style>
  <w:style w:type="paragraph" w:customStyle="1" w:styleId="list-2">
    <w:name w:val="list-2"/>
    <w:basedOn w:val="list-1"/>
    <w:rsid w:val="00DD0B9F"/>
    <w:pPr>
      <w:numPr>
        <w:numId w:val="12"/>
      </w:numPr>
      <w:tabs>
        <w:tab w:val="clear" w:pos="792"/>
        <w:tab w:val="num" w:pos="720"/>
      </w:tabs>
      <w:spacing w:before="80"/>
    </w:pPr>
  </w:style>
  <w:style w:type="paragraph" w:customStyle="1" w:styleId="list-3">
    <w:name w:val="list-3"/>
    <w:basedOn w:val="list-2"/>
    <w:rsid w:val="00DD0B9F"/>
    <w:pPr>
      <w:numPr>
        <w:numId w:val="13"/>
      </w:numPr>
      <w:tabs>
        <w:tab w:val="clear" w:pos="1152"/>
        <w:tab w:val="num" w:pos="1080"/>
      </w:tabs>
      <w:spacing w:before="40"/>
    </w:pPr>
  </w:style>
  <w:style w:type="paragraph" w:customStyle="1" w:styleId="body-3">
    <w:name w:val="body-3"/>
    <w:basedOn w:val="body-2"/>
    <w:rsid w:val="00DD0B9F"/>
    <w:pPr>
      <w:ind w:left="720"/>
    </w:pPr>
  </w:style>
  <w:style w:type="paragraph" w:customStyle="1" w:styleId="body-30">
    <w:name w:val="body-3/0"/>
    <w:basedOn w:val="body-3"/>
    <w:rsid w:val="00DD0B9F"/>
    <w:pPr>
      <w:spacing w:before="0"/>
    </w:pPr>
  </w:style>
  <w:style w:type="paragraph" w:customStyle="1" w:styleId="list-major">
    <w:name w:val="list-major"/>
    <w:basedOn w:val="body"/>
    <w:next w:val="body-20"/>
    <w:rsid w:val="00DD0B9F"/>
    <w:pPr>
      <w:keepNext/>
      <w:numPr>
        <w:numId w:val="14"/>
      </w:numPr>
      <w:spacing w:after="80"/>
    </w:pPr>
    <w:rPr>
      <w:b/>
      <w:bCs/>
    </w:rPr>
  </w:style>
  <w:style w:type="paragraph" w:customStyle="1" w:styleId="list-">
    <w:name w:val="list-#"/>
    <w:basedOn w:val="body"/>
    <w:rsid w:val="00DD0B9F"/>
    <w:pPr>
      <w:ind w:left="360" w:hanging="360"/>
    </w:pPr>
  </w:style>
  <w:style w:type="paragraph" w:customStyle="1" w:styleId="list-a">
    <w:name w:val="list-#a"/>
    <w:basedOn w:val="list-"/>
    <w:rsid w:val="00DD0B9F"/>
    <w:pPr>
      <w:spacing w:before="160"/>
      <w:ind w:left="720"/>
    </w:pPr>
  </w:style>
  <w:style w:type="paragraph" w:customStyle="1" w:styleId="Title-date">
    <w:name w:val="Title-date"/>
    <w:basedOn w:val="Title-2"/>
    <w:qFormat/>
    <w:rsid w:val="001A18F4"/>
    <w:pPr>
      <w:spacing w:before="160" w:after="480"/>
    </w:pPr>
    <w:rPr>
      <w:b w:val="0"/>
      <w:i/>
      <w:sz w:val="28"/>
    </w:rPr>
  </w:style>
  <w:style w:type="table" w:styleId="TableGrid">
    <w:name w:val="Table Grid"/>
    <w:basedOn w:val="TableNormal"/>
    <w:rsid w:val="00251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dy">
    <w:name w:val="Table body"/>
    <w:basedOn w:val="body"/>
    <w:rsid w:val="00EC0B26"/>
    <w:pPr>
      <w:spacing w:before="80" w:after="20" w:line="240" w:lineRule="auto"/>
      <w:jc w:val="center"/>
    </w:pPr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464DA6"/>
    <w:rPr>
      <w:sz w:val="16"/>
      <w:szCs w:val="16"/>
    </w:rPr>
  </w:style>
  <w:style w:type="paragraph" w:styleId="BalloonText">
    <w:name w:val="Balloon Text"/>
    <w:basedOn w:val="Normal"/>
    <w:link w:val="BalloonTextChar"/>
    <w:rsid w:val="00464DA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4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ther\_Makers\TEMPLATE\MK_N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MK_NORM.dotx</Template>
  <TotalTime>18</TotalTime>
  <Pages>2</Pages>
  <Words>689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makers normal</vt:lpstr>
    </vt:vector>
  </TitlesOfParts>
  <Company>Makers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makers normal</dc:title>
  <dc:creator>Bob</dc:creator>
  <cp:lastModifiedBy>Bob</cp:lastModifiedBy>
  <cp:revision>2</cp:revision>
  <cp:lastPrinted>2012-10-25T21:47:00Z</cp:lastPrinted>
  <dcterms:created xsi:type="dcterms:W3CDTF">2012-11-06T19:51:00Z</dcterms:created>
  <dcterms:modified xsi:type="dcterms:W3CDTF">2012-11-06T19:51:00Z</dcterms:modified>
</cp:coreProperties>
</file>